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D08EA">
      <w:pPr>
        <w:spacing w:after="480"/>
        <w:jc w:val="center"/>
        <w:rPr>
          <w:rFonts w:hint="eastAsia" w:eastAsia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</w:rPr>
        <w:t>线上报销系统操作</w:t>
      </w:r>
      <w:r>
        <w:rPr>
          <w:rFonts w:hint="eastAsia" w:ascii="方正小标宋简体" w:hAnsi="方正小标宋简体" w:eastAsia="方正小标宋简体" w:cs="方正小标宋简体"/>
          <w:b/>
          <w:sz w:val="40"/>
          <w:lang w:val="en-US" w:eastAsia="zh-CN"/>
        </w:rPr>
        <w:t>指南</w:t>
      </w:r>
    </w:p>
    <w:p w14:paraId="07D848A2">
      <w:pPr>
        <w:spacing w:before="280" w:after="120"/>
        <w:jc w:val="left"/>
        <w:rPr>
          <w:rFonts w:hint="eastAsia" w:ascii="宋体" w:hAnsi="宋体" w:eastAsia="宋体" w:cs="宋体"/>
        </w:rPr>
      </w:pPr>
      <w:r>
        <w:rPr>
          <w:rFonts w:hint="eastAsia" w:ascii="方正仿宋_GB2312" w:hAnsi="方正仿宋_GB2312" w:eastAsia="方正仿宋_GB2312" w:cs="方正仿宋_GB2312"/>
          <w:b/>
          <w:sz w:val="30"/>
        </w:rPr>
        <w:t>一、系统登录入口</w:t>
      </w:r>
    </w:p>
    <w:p w14:paraId="001995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登录网址：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fldChar w:fldCharType="begin"/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instrText xml:space="preserve"> HYPERLINK "欢迎访问南京医科大学康达学院财务处综合信息门户.html" </w:instrTex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fldChar w:fldCharType="separate"/>
      </w:r>
      <w:r>
        <w:rPr>
          <w:rStyle w:val="134"/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https://kdcw.nmukd.edu.</w:t>
      </w:r>
      <w:r>
        <w:rPr>
          <w:rStyle w:val="134"/>
          <w:rFonts w:hint="eastAsia"/>
        </w:rPr>
        <w:t>cn</w:t>
      </w:r>
      <w:r>
        <w:rPr>
          <w:rStyle w:val="134"/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/WFManager/login.jsp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fldChar w:fldCharType="end"/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。登录南京医科大学康达学院财务处综合信息门户网上办事大厅，在系统导航菜单栏找到【预约报销】，点击进入网上报销业务模块，开展线上报销操作。</w:t>
      </w:r>
    </w:p>
    <w:p w14:paraId="5C9BEB79">
      <w:pPr>
        <w:spacing w:after="80" w:line="360" w:lineRule="auto"/>
        <w:jc w:val="center"/>
      </w:pPr>
      <w:r>
        <w:drawing>
          <wp:inline distT="0" distB="0" distL="114300" distR="114300">
            <wp:extent cx="5265420" cy="2764790"/>
            <wp:effectExtent l="0" t="0" r="11430" b="165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978EB5F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lang w:val="en-US" w:eastAsia="zh-CN"/>
        </w:rPr>
        <w:t>OA一站式服务大厅登录</w:t>
      </w:r>
    </w:p>
    <w:p w14:paraId="3C9D9A13">
      <w:pPr>
        <w:numPr>
          <w:ilvl w:val="0"/>
          <w:numId w:val="0"/>
        </w:numPr>
        <w:spacing w:after="80" w:line="360" w:lineRule="auto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2764790"/>
            <wp:effectExtent l="0" t="0" r="10160" b="16510"/>
            <wp:docPr id="13" name="图片 13" descr="ad8f378b-eb3a-42e4-a8e6-f9cdc81c3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d8f378b-eb3a-42e4-a8e6-f9cdc81c37f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38044">
      <w:pPr>
        <w:spacing w:after="80" w:line="360" w:lineRule="auto"/>
        <w:jc w:val="both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提示：建议屏幕分辨率使用1024×768及以上，以保障页面完整显示。</w:t>
      </w:r>
    </w:p>
    <w:p w14:paraId="2D0F3523">
      <w:pPr>
        <w:spacing w:before="280" w:after="120"/>
        <w:jc w:val="left"/>
      </w:pPr>
      <w:r>
        <w:rPr>
          <w:rFonts w:hint="eastAsia" w:ascii="方正仿宋_GB2312" w:hAnsi="方正仿宋_GB2312" w:eastAsia="方正仿宋_GB2312" w:cs="方正仿宋_GB2312"/>
          <w:b/>
          <w:sz w:val="30"/>
        </w:rPr>
        <w:t>二、日常报销业务操作流程</w:t>
      </w:r>
    </w:p>
    <w:p w14:paraId="6D64C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1.进入报销单管理页面，业务大类选择“日常报销业务”，录入单项项目编码、申请人姓名、手机号、实际报销人、电子邮箱。</w:t>
      </w:r>
    </w:p>
    <w:p w14:paraId="7C4822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2.填写摘要：摘要要求简洁规范，清晰写明业务事由，禁止出现空格、错别字。</w:t>
      </w:r>
    </w:p>
    <w:p w14:paraId="1A8D0C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ascii="宋体" w:hAnsi="宋体" w:eastAsia="宋体"/>
          <w:b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3.选择是否含有电子发票，填写附件张数，选择支付方式，点击【下一步】。</w:t>
      </w:r>
    </w:p>
    <w:p w14:paraId="58D6553A">
      <w:pPr>
        <w:spacing w:after="80" w:line="360" w:lineRule="auto"/>
        <w:jc w:val="center"/>
        <w:rPr>
          <w:rFonts w:ascii="宋体" w:hAnsi="宋体" w:eastAsia="宋体"/>
          <w:b w:val="0"/>
          <w:sz w:val="24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529205"/>
            <wp:effectExtent l="0" t="0" r="10160" b="4445"/>
            <wp:docPr id="3" name="图片 3" descr="71a03776-8f61-440e-ac31-3e0b4f61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1a03776-8f61-440e-ac31-3e0b4f61040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7F9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进入金额填报页面，选择对应经费科目，填写报销金额，确认金额无误后点击【下一步】。</w:t>
      </w:r>
    </w:p>
    <w:p w14:paraId="37430143">
      <w:pPr>
        <w:numPr>
          <w:ilvl w:val="0"/>
          <w:numId w:val="0"/>
        </w:numPr>
        <w:spacing w:after="80" w:line="360" w:lineRule="auto"/>
        <w:jc w:val="center"/>
        <w:rPr>
          <w:rFonts w:ascii="宋体" w:hAnsi="宋体" w:eastAsia="宋体"/>
          <w:b w:val="0"/>
          <w:sz w:val="24"/>
        </w:rPr>
      </w:pPr>
      <w:r>
        <w:drawing>
          <wp:inline distT="0" distB="0" distL="114300" distR="114300">
            <wp:extent cx="5266690" cy="2764790"/>
            <wp:effectExtent l="0" t="0" r="1016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F1B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填写转卡支付信息，确认后点击【下一步】，上传附件，核对全部信息后提交报销单。</w:t>
      </w:r>
    </w:p>
    <w:p w14:paraId="72811AFD">
      <w:pPr>
        <w:numPr>
          <w:ilvl w:val="0"/>
          <w:numId w:val="0"/>
        </w:numPr>
        <w:spacing w:after="80" w:line="360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2764790"/>
            <wp:effectExtent l="0" t="0" r="10160" b="16510"/>
            <wp:docPr id="10" name="图片 10" descr="681d3dc8db7c47eb169a7c321a7e3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81d3dc8db7c47eb169a7c321a7e303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66690" cy="2766060"/>
            <wp:effectExtent l="0" t="0" r="10160" b="15240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6ACA4">
      <w:pPr>
        <w:numPr>
          <w:ilvl w:val="0"/>
          <w:numId w:val="0"/>
        </w:numPr>
        <w:spacing w:after="80" w:line="360" w:lineRule="auto"/>
        <w:jc w:val="both"/>
        <w:rPr>
          <w:rFonts w:ascii="宋体" w:hAnsi="宋体" w:eastAsia="宋体"/>
          <w:b w:val="0"/>
          <w:sz w:val="24"/>
        </w:rPr>
      </w:pPr>
    </w:p>
    <w:p w14:paraId="5D8EA560">
      <w:pPr>
        <w:spacing w:before="280" w:after="120"/>
        <w:jc w:val="left"/>
      </w:pPr>
      <w:r>
        <w:rPr>
          <w:rFonts w:hint="eastAsia" w:ascii="方正仿宋_GB2312" w:hAnsi="方正仿宋_GB2312" w:eastAsia="方正仿宋_GB2312" w:cs="方正仿宋_GB2312"/>
          <w:b/>
          <w:sz w:val="30"/>
        </w:rPr>
        <w:t>三、差旅费报销业务操作流程</w:t>
      </w:r>
    </w:p>
    <w:p w14:paraId="3CB496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1.报销单管理页面，业务大类选择“国内差旅费业务”，填写项目编码、申请人、联系信息，规范填写差旅业务摘要，选择是否含有电子发票、附件张数、支付方式，点击【下一步】。</w:t>
      </w:r>
    </w:p>
    <w:p w14:paraId="4C01A441">
      <w:pPr>
        <w:spacing w:after="80" w:line="360" w:lineRule="auto"/>
        <w:jc w:val="center"/>
        <w:rPr>
          <w:rFonts w:hint="eastAsia" w:ascii="宋体" w:hAnsi="宋体" w:eastAsia="宋体"/>
          <w:b w:val="0"/>
          <w:sz w:val="24"/>
          <w:lang w:eastAsia="zh-CN"/>
        </w:rPr>
      </w:pPr>
      <w:r>
        <w:rPr>
          <w:rFonts w:hint="eastAsia" w:ascii="宋体" w:hAnsi="宋体" w:eastAsia="宋体"/>
          <w:b w:val="0"/>
          <w:sz w:val="24"/>
          <w:lang w:eastAsia="zh-CN"/>
        </w:rPr>
        <w:drawing>
          <wp:inline distT="0" distB="0" distL="114300" distR="114300">
            <wp:extent cx="5266690" cy="2961005"/>
            <wp:effectExtent l="0" t="0" r="10160" b="10795"/>
            <wp:docPr id="16" name="图片 16" descr="164ff933-6875-49cd-866a-f52cc10f79b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4ff933-6875-49cd-866a-f52cc10f79b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0A8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差旅信息填报页面：填写出差人、出发地、目的地、出差起止日期；依次录入火车、长途交通、城市交通、住宿费、各类补贴等费用，系统自动生成报销总合计金额，确认无误后点击【下一步】。</w:t>
      </w:r>
    </w:p>
    <w:p w14:paraId="11C8206E">
      <w:pPr>
        <w:numPr>
          <w:ilvl w:val="0"/>
          <w:numId w:val="0"/>
        </w:numPr>
        <w:spacing w:after="80" w:line="360" w:lineRule="auto"/>
        <w:jc w:val="center"/>
        <w:rPr>
          <w:rFonts w:ascii="宋体" w:hAnsi="宋体" w:eastAsia="宋体"/>
          <w:b w:val="0"/>
          <w:sz w:val="24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66690" cy="2764790"/>
            <wp:effectExtent l="0" t="0" r="10160" b="16510"/>
            <wp:docPr id="21" name="图片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A3E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填写转卡支付信息，录入本次支付金额，点击【确认】，核对转卡支付列表后点击【下一步】。</w:t>
      </w:r>
    </w:p>
    <w:p w14:paraId="405406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上传差旅相关附件（差旅审批表、行程单据等），核对全部信息，提交报销单。</w:t>
      </w:r>
    </w:p>
    <w:p w14:paraId="223CC82B">
      <w:pPr>
        <w:numPr>
          <w:ilvl w:val="0"/>
          <w:numId w:val="0"/>
        </w:numPr>
        <w:spacing w:after="80" w:line="360" w:lineRule="auto"/>
        <w:jc w:val="center"/>
        <w:rPr>
          <w:rFonts w:ascii="宋体" w:hAnsi="宋体" w:eastAsia="宋体"/>
          <w:b w:val="0"/>
          <w:sz w:val="24"/>
        </w:rPr>
      </w:pPr>
      <w:r>
        <w:drawing>
          <wp:inline distT="0" distB="0" distL="114300" distR="114300">
            <wp:extent cx="5266690" cy="2766060"/>
            <wp:effectExtent l="0" t="0" r="10160" b="15240"/>
            <wp:docPr id="25" name="图片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0F253">
      <w:pPr>
        <w:spacing w:before="280" w:after="120"/>
        <w:jc w:val="left"/>
      </w:pPr>
      <w:r>
        <w:rPr>
          <w:rFonts w:hint="eastAsia" w:ascii="方正仿宋_GB2312" w:hAnsi="方正仿宋_GB2312" w:eastAsia="方正仿宋_GB2312" w:cs="方正仿宋_GB2312"/>
          <w:b/>
          <w:sz w:val="30"/>
        </w:rPr>
        <w:t>四、暂借款业务操作流程</w:t>
      </w:r>
    </w:p>
    <w:p w14:paraId="426051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ascii="宋体" w:hAnsi="宋体" w:eastAsia="宋体"/>
          <w:b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1.报销单管理页面，业务大类选择“暂借款业务”，填写项目编码、申请人信息，填写借款摘要，选择支付方式，点击【下一步】。</w:t>
      </w:r>
    </w:p>
    <w:p w14:paraId="70AF7FE3">
      <w:pPr>
        <w:spacing w:after="80" w:line="360" w:lineRule="auto"/>
        <w:jc w:val="center"/>
        <w:rPr>
          <w:rFonts w:ascii="宋体" w:hAnsi="宋体" w:eastAsia="宋体"/>
          <w:b w:val="0"/>
          <w:sz w:val="24"/>
        </w:rPr>
      </w:pPr>
      <w:r>
        <w:drawing>
          <wp:inline distT="0" distB="0" distL="114300" distR="114300">
            <wp:extent cx="5266690" cy="2751455"/>
            <wp:effectExtent l="0" t="0" r="10160" b="10795"/>
            <wp:docPr id="26" name="图片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476D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ascii="宋体" w:hAnsi="宋体" w:eastAsia="宋体"/>
          <w:b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进入暂借款页面，选择借款类型，填写借款金额、借款事由，选择对应预算项目，录入借款人工号、姓名，确认信息后点击【下一步】。</w:t>
      </w:r>
    </w:p>
    <w:p w14:paraId="0AF0DD9C">
      <w:pPr>
        <w:numPr>
          <w:ilvl w:val="0"/>
          <w:numId w:val="0"/>
        </w:numPr>
        <w:spacing w:after="80" w:line="360" w:lineRule="auto"/>
        <w:jc w:val="center"/>
        <w:rPr>
          <w:rFonts w:ascii="宋体" w:hAnsi="宋体" w:eastAsia="宋体"/>
          <w:b w:val="0"/>
          <w:sz w:val="24"/>
        </w:rPr>
      </w:pPr>
      <w:r>
        <w:drawing>
          <wp:inline distT="0" distB="0" distL="114300" distR="114300">
            <wp:extent cx="5266690" cy="2751455"/>
            <wp:effectExtent l="0" t="0" r="10160" b="10795"/>
            <wp:docPr id="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C892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left="482" w:leftChars="0" w:firstLine="480" w:firstLineChars="200"/>
        <w:jc w:val="both"/>
        <w:textAlignment w:val="auto"/>
        <w:rPr>
          <w:rFonts w:ascii="宋体" w:hAnsi="宋体" w:eastAsia="宋体"/>
          <w:b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填写转卡支付信息，录入借款支付金额，点击【确认】，核对转卡支付列表后点击【下一步】。</w:t>
      </w:r>
    </w:p>
    <w:p w14:paraId="6E5833FF">
      <w:pPr>
        <w:numPr>
          <w:ilvl w:val="0"/>
          <w:numId w:val="0"/>
        </w:numPr>
        <w:spacing w:after="80" w:line="360" w:lineRule="auto"/>
        <w:jc w:val="center"/>
      </w:pPr>
      <w:r>
        <w:drawing>
          <wp:inline distT="0" distB="0" distL="114300" distR="114300">
            <wp:extent cx="5266690" cy="2754630"/>
            <wp:effectExtent l="0" t="0" r="10160" b="7620"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5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60FDA">
      <w:pPr>
        <w:numPr>
          <w:ilvl w:val="0"/>
          <w:numId w:val="0"/>
        </w:numPr>
        <w:spacing w:after="80" w:line="360" w:lineRule="auto"/>
        <w:jc w:val="center"/>
      </w:pPr>
      <w:r>
        <w:drawing>
          <wp:inline distT="0" distB="0" distL="114300" distR="114300">
            <wp:extent cx="5266690" cy="2766060"/>
            <wp:effectExtent l="0" t="0" r="10160" b="15240"/>
            <wp:docPr id="29" name="图片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291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上传借款相关审批附件，核对全部单据信息，提交借款申请。</w:t>
      </w:r>
    </w:p>
    <w:p w14:paraId="7D30F68C">
      <w:pPr>
        <w:numPr>
          <w:ilvl w:val="0"/>
          <w:numId w:val="0"/>
        </w:numPr>
        <w:spacing w:after="80" w:line="360" w:lineRule="auto"/>
        <w:jc w:val="center"/>
        <w:rPr>
          <w:rFonts w:ascii="宋体" w:hAnsi="宋体" w:eastAsia="宋体"/>
          <w:b w:val="0"/>
          <w:sz w:val="24"/>
        </w:rPr>
      </w:pPr>
      <w:r>
        <w:drawing>
          <wp:inline distT="0" distB="0" distL="114300" distR="114300">
            <wp:extent cx="5266690" cy="2766060"/>
            <wp:effectExtent l="0" t="0" r="10160" b="15240"/>
            <wp:docPr id="17" name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9D543">
      <w:pPr>
        <w:spacing w:before="280" w:after="120"/>
        <w:jc w:val="left"/>
      </w:pPr>
      <w:r>
        <w:rPr>
          <w:rFonts w:hint="eastAsia" w:ascii="方正仿宋_GB2312" w:hAnsi="方正仿宋_GB2312" w:eastAsia="方正仿宋_GB2312" w:cs="方正仿宋_GB2312"/>
          <w:b/>
          <w:sz w:val="30"/>
        </w:rPr>
        <w:t>五、发票采集与认证操作</w:t>
      </w:r>
    </w:p>
    <w:p w14:paraId="166EA4B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适用场景：报销含有电子发票的，须先完成发票认证，再选择已认证发票进行报销。</w:t>
      </w:r>
    </w:p>
    <w:p w14:paraId="25876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在报销菜单点击【增值税发票查验】，进入发票认证记录窗口，点击【认证发票】按钮。</w:t>
      </w:r>
    </w:p>
    <w:p w14:paraId="65C14BD9">
      <w:pPr>
        <w:numPr>
          <w:ilvl w:val="0"/>
          <w:numId w:val="0"/>
        </w:numPr>
        <w:spacing w:after="80" w:line="360" w:lineRule="auto"/>
        <w:jc w:val="center"/>
      </w:pPr>
      <w:r>
        <w:drawing>
          <wp:inline distT="0" distB="0" distL="114300" distR="114300">
            <wp:extent cx="5266690" cy="2764790"/>
            <wp:effectExtent l="0" t="0" r="10160" b="16510"/>
            <wp:docPr id="6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EACE8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left="0" w:leftChars="0"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弹出增值税发票采集窗口，区分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数电票和纸质普票、专票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，填写发票代码、号码、开票日期、金额等信息；也可使用复翼发票助手小程序扫码采集发票信息。</w:t>
      </w:r>
    </w:p>
    <w:p w14:paraId="1F3E5A2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left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66690" cy="2961005"/>
            <wp:effectExtent l="0" t="0" r="10160" b="10795"/>
            <wp:wrapSquare wrapText="bothSides"/>
            <wp:docPr id="20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E8DB34">
      <w:pPr>
        <w:spacing w:after="80" w:line="360" w:lineRule="auto"/>
        <w:jc w:val="center"/>
      </w:pPr>
    </w:p>
    <w:p w14:paraId="5A0CEE13">
      <w:pPr>
        <w:spacing w:after="80" w:line="360" w:lineRule="auto"/>
        <w:jc w:val="center"/>
      </w:pPr>
    </w:p>
    <w:p w14:paraId="2376E6B7">
      <w:pPr>
        <w:spacing w:after="80" w:line="360" w:lineRule="auto"/>
        <w:jc w:val="center"/>
      </w:pPr>
    </w:p>
    <w:p w14:paraId="0DF1DEDE">
      <w:pPr>
        <w:spacing w:after="80" w:line="360" w:lineRule="auto"/>
        <w:jc w:val="center"/>
      </w:pPr>
    </w:p>
    <w:p w14:paraId="28ACAEBE">
      <w:pPr>
        <w:spacing w:after="80" w:line="360" w:lineRule="auto"/>
        <w:jc w:val="center"/>
      </w:pPr>
    </w:p>
    <w:p w14:paraId="179F8178">
      <w:pPr>
        <w:spacing w:after="80" w:line="360" w:lineRule="auto"/>
        <w:jc w:val="center"/>
      </w:pPr>
    </w:p>
    <w:p w14:paraId="0572423B">
      <w:pPr>
        <w:spacing w:after="80" w:line="360" w:lineRule="auto"/>
        <w:jc w:val="center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266690" cy="2764790"/>
            <wp:effectExtent l="0" t="0" r="10160" b="16510"/>
            <wp:docPr id="4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1235075" cy="2678430"/>
            <wp:effectExtent l="0" t="0" r="3175" b="7620"/>
            <wp:docPr id="2" name="图片 2" descr="a6174f9348e1b0133f807a53d2fab0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6174f9348e1b0133f807a53d2fab0cf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35075" cy="26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79157">
      <w:pPr>
        <w:spacing w:after="80" w:line="360" w:lineRule="auto"/>
        <w:jc w:val="center"/>
      </w:pPr>
      <w:r>
        <w:drawing>
          <wp:inline distT="0" distB="0" distL="114300" distR="114300">
            <wp:extent cx="5266690" cy="2764790"/>
            <wp:effectExtent l="0" t="0" r="10160" b="16510"/>
            <wp:docPr id="7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235075" cy="2678430"/>
            <wp:effectExtent l="0" t="0" r="3175" b="762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35075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35A3D">
      <w:pPr>
        <w:spacing w:after="80" w:line="360" w:lineRule="auto"/>
        <w:jc w:val="center"/>
      </w:pPr>
      <w:r>
        <w:drawing>
          <wp:inline distT="0" distB="0" distL="114300" distR="114300">
            <wp:extent cx="1235075" cy="2678430"/>
            <wp:effectExtent l="0" t="0" r="3175" b="762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35075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71ACA">
      <w:pPr>
        <w:spacing w:after="80" w:line="360" w:lineRule="auto"/>
        <w:ind w:firstLine="480"/>
        <w:jc w:val="both"/>
      </w:pPr>
    </w:p>
    <w:p w14:paraId="05DE4F7A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left="0" w:leftChars="0"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信息录入完成，点击【核验】，核验通过后点击【保存】，完成发票认证。</w:t>
      </w:r>
    </w:p>
    <w:p w14:paraId="2F3C1D4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hd w:val="clear" w:color="auto" w:fill="auto"/>
        </w:rPr>
        <w:t>重要提醒：完成认证的发票，在报销单中勾选“选择已认证发票”进行调用，防范重复报销风险。</w:t>
      </w:r>
    </w:p>
    <w:p w14:paraId="5F172D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4"/>
          <w:shd w:val="clear" w:color="auto" w:fill="auto"/>
        </w:rPr>
      </w:pPr>
    </w:p>
    <w:p w14:paraId="5CFBF00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4"/>
          <w:shd w:val="clear" w:color="auto" w:fill="auto"/>
        </w:rPr>
      </w:pPr>
    </w:p>
    <w:p w14:paraId="29785E7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-713740</wp:posOffset>
            </wp:positionV>
            <wp:extent cx="5266690" cy="2764790"/>
            <wp:effectExtent l="0" t="0" r="10160" b="16510"/>
            <wp:wrapSquare wrapText="bothSides"/>
            <wp:docPr id="19" name="图片 19" descr="微信图片_2026-09-11_083109_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微信图片_2026-09-11_083109_01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F147D1">
      <w:pPr>
        <w:spacing w:before="280" w:after="120"/>
        <w:jc w:val="left"/>
      </w:pPr>
      <w:r>
        <w:rPr>
          <w:rFonts w:hint="eastAsia" w:ascii="方正仿宋_GB2312" w:hAnsi="方正仿宋_GB2312" w:eastAsia="方正仿宋_GB2312" w:cs="方正仿宋_GB2312"/>
          <w:b/>
          <w:sz w:val="30"/>
        </w:rPr>
        <w:t>六、支付方式填写</w:t>
      </w:r>
    </w:p>
    <w:p w14:paraId="59FB2E1B">
      <w:pPr>
        <w:spacing w:after="80" w:line="360" w:lineRule="auto"/>
        <w:ind w:firstLine="480"/>
        <w:jc w:val="both"/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系统支持转卡支付（校内人员）与混合支付（含校外人员汇款）两种方式，请在“选择支付方式”页面按人员类别分别填写。</w:t>
      </w:r>
    </w:p>
    <w:p w14:paraId="3B4E911B">
      <w:pPr>
        <w:spacing w:before="280" w:after="120"/>
        <w:jc w:val="left"/>
        <w:rPr>
          <w:rFonts w:hint="eastAsia" w:ascii="方正仿宋_GB2312" w:hAnsi="方正仿宋_GB2312" w:eastAsia="方正仿宋_GB2312" w:cs="方正仿宋_GB2312"/>
          <w:b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</w:rPr>
        <w:t>（一）转卡支付（校内人员）</w:t>
      </w:r>
    </w:p>
    <w:p w14:paraId="1C78BF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进入“填写转卡信息”界面，录入工号、姓名、账号、报销金额，点击【确认】按钮。</w:t>
      </w:r>
    </w:p>
    <w:p w14:paraId="28E02BF7">
      <w:pPr>
        <w:spacing w:after="80" w:line="360" w:lineRule="auto"/>
        <w:ind w:firstLine="480"/>
        <w:jc w:val="center"/>
        <w:rPr>
          <w:rFonts w:ascii="宋体" w:hAnsi="宋体" w:eastAsia="宋体"/>
          <w:b w:val="0"/>
          <w:sz w:val="24"/>
        </w:rPr>
      </w:pPr>
      <w:r>
        <w:drawing>
          <wp:inline distT="0" distB="0" distL="114300" distR="114300">
            <wp:extent cx="5266690" cy="2766060"/>
            <wp:effectExtent l="0" t="0" r="10160" b="15240"/>
            <wp:docPr id="22" name="图片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0BE60">
      <w:pPr>
        <w:spacing w:after="80" w:line="360" w:lineRule="auto"/>
        <w:ind w:firstLine="480"/>
        <w:jc w:val="both"/>
        <w:rPr>
          <w:rFonts w:ascii="宋体" w:hAnsi="宋体" w:eastAsia="宋体"/>
          <w:b w:val="0"/>
          <w:sz w:val="24"/>
        </w:rPr>
      </w:pPr>
    </w:p>
    <w:p w14:paraId="50F2AC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确认右侧转卡支付列表信息无误，核对未填金额、已填金额平衡，点击【下一步】。</w:t>
      </w:r>
    </w:p>
    <w:p w14:paraId="753013C3">
      <w:pPr>
        <w:numPr>
          <w:ilvl w:val="0"/>
          <w:numId w:val="0"/>
        </w:numPr>
        <w:spacing w:after="80" w:line="360" w:lineRule="auto"/>
        <w:jc w:val="center"/>
        <w:rPr>
          <w:rFonts w:ascii="宋体" w:hAnsi="宋体" w:eastAsia="宋体"/>
          <w:b w:val="0"/>
          <w:sz w:val="24"/>
        </w:rPr>
      </w:pPr>
      <w:r>
        <w:drawing>
          <wp:inline distT="0" distB="0" distL="114300" distR="114300">
            <wp:extent cx="5266690" cy="2764790"/>
            <wp:effectExtent l="0" t="0" r="10160" b="16510"/>
            <wp:docPr id="24" name="图片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CFDCA">
      <w:pPr>
        <w:spacing w:before="280" w:after="120"/>
        <w:jc w:val="left"/>
        <w:rPr>
          <w:rFonts w:hint="eastAsia" w:ascii="方正仿宋_GB2312" w:hAnsi="方正仿宋_GB2312" w:eastAsia="方正仿宋_GB2312" w:cs="方正仿宋_GB2312"/>
          <w:b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</w:rPr>
        <w:t>（二）混合支付（校外人员）</w:t>
      </w:r>
    </w:p>
    <w:p w14:paraId="652113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1.在“请选择支付方式”页面，分为“校内人员转卡”与“校外人员汇款”两大板块。</w:t>
      </w:r>
    </w:p>
    <w:p w14:paraId="7585BB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2.校内人员转卡：填写工号、姓名、卡号、卡类型、开户银行、金额。</w:t>
      </w:r>
    </w:p>
    <w:p w14:paraId="189E66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3.校外人员汇款：填写户名、银行账号、开户银行、附言、金额。</w:t>
      </w:r>
    </w:p>
    <w:p w14:paraId="40848A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4.逐一核对各支付条目无误后，点击【下一步】。</w:t>
      </w:r>
    </w:p>
    <w:p w14:paraId="7A664735">
      <w:pPr>
        <w:spacing w:after="80" w:line="360" w:lineRule="auto"/>
        <w:jc w:val="center"/>
        <w:rPr>
          <w:rFonts w:ascii="宋体" w:hAnsi="宋体" w:eastAsia="宋体"/>
          <w:b w:val="0"/>
          <w:sz w:val="24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764790"/>
            <wp:effectExtent l="0" t="0" r="10160" b="16510"/>
            <wp:docPr id="11" name="图片 11" descr="681d3dc8db7c47eb169a7c321a7e3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81d3dc8db7c47eb169a7c321a7e303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EB47A">
      <w:pPr>
        <w:spacing w:before="280" w:after="120"/>
        <w:jc w:val="left"/>
      </w:pPr>
      <w:r>
        <w:rPr>
          <w:rFonts w:hint="eastAsia" w:ascii="方正仿宋_GB2312" w:hAnsi="方正仿宋_GB2312" w:eastAsia="方正仿宋_GB2312" w:cs="方正仿宋_GB2312"/>
          <w:b/>
          <w:sz w:val="30"/>
        </w:rPr>
        <w:t>七、附件上传与提交</w:t>
      </w:r>
    </w:p>
    <w:p w14:paraId="6A2723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日常报销、差旅、借款业务，流转到附件上传页面操作一致。</w:t>
      </w:r>
    </w:p>
    <w:p w14:paraId="5E9B19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1.点击【上传附件】按钮，上传对应业务佐证材料（发票、审批单、比价单、结算单等）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需要上传扫描件，确保信息清晰、完整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。</w:t>
      </w:r>
    </w:p>
    <w:p w14:paraId="4B0A11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2.核对页面下方备注的报销材料要求，确认附件齐全。</w:t>
      </w:r>
    </w:p>
    <w:p w14:paraId="4043D1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3.全部确认无误，点击【提交】完成线上单据填报。</w:t>
      </w:r>
    </w:p>
    <w:p w14:paraId="266B42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注意事项：附件信息需要上传扫描件，保证信息清晰。</w:t>
      </w:r>
    </w:p>
    <w:p w14:paraId="664EBB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八、审批流程</w:t>
      </w:r>
    </w:p>
    <w:p w14:paraId="096FCB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点击“网上审批管理”，跳转待审批页面，选择审批事项，进行审批。</w:t>
      </w:r>
    </w:p>
    <w:p w14:paraId="4845C1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</w:pPr>
      <w:r>
        <w:drawing>
          <wp:inline distT="0" distB="0" distL="114300" distR="114300">
            <wp:extent cx="5260340" cy="2613025"/>
            <wp:effectExtent l="0" t="0" r="16510" b="1587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6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3EC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58435" cy="2613660"/>
            <wp:effectExtent l="0" t="0" r="18415" b="152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C06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</w:pPr>
    </w:p>
    <w:p w14:paraId="403F7D33">
      <w:pPr>
        <w:spacing w:before="280" w:after="120"/>
        <w:jc w:val="left"/>
        <w:rPr>
          <w:rFonts w:hint="eastAsia" w:ascii="方正仿宋_GB2312" w:hAnsi="方正仿宋_GB2312" w:eastAsia="方正仿宋_GB2312" w:cs="方正仿宋_GB2312"/>
          <w:b/>
          <w:sz w:val="30"/>
        </w:rPr>
      </w:pPr>
      <w:r>
        <w:rPr>
          <w:rFonts w:hint="eastAsia" w:ascii="方正仿宋_GB2312" w:hAnsi="方正仿宋_GB2312" w:eastAsia="方正仿宋_GB2312" w:cs="方正仿宋_GB2312"/>
          <w:b/>
          <w:sz w:val="30"/>
        </w:rPr>
        <w:t>报销材料提示</w:t>
      </w:r>
    </w:p>
    <w:p w14:paraId="4F39A9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所有发票购买方须为“南京医科大学康达学院”，税号：52320000509200419A。</w:t>
      </w:r>
    </w:p>
    <w:p w14:paraId="550491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1.物资采购：申购单、比价单、发票、付款记录；个人垫付超2000元的需提供付款记录。注意先申购、再比价、后购买的时间顺序。</w:t>
      </w:r>
    </w:p>
    <w:p w14:paraId="291DC6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2.学生活动：在物资采购材料基础上增加活动审批单，共6项材料。</w:t>
      </w:r>
    </w:p>
    <w:p w14:paraId="02FECE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3.工作餐：工作餐结算单（需加盖部门章）、发票、付款记录；个人垫付超2000元的提供付款记录。</w:t>
      </w:r>
    </w:p>
    <w:p w14:paraId="7D3F21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4.版面费：发票、杂志封面封底目录复印件、付款记录（个人垫付超2000元提供）。</w:t>
      </w:r>
    </w:p>
    <w:p w14:paraId="48EFDE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5.专家劳务费：学术讲座审批备案表、工作量统计表。</w:t>
      </w:r>
    </w:p>
    <w:p w14:paraId="630A0E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差旅：差旅预先审批标（需提前审批）、各类发票（机票附登机牌）、会议通知、参会证明、付款记录（个人垫付超2000元提供）。</w:t>
      </w:r>
    </w:p>
    <w:p w14:paraId="395CCA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7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公务接待：接待审批单（教学科研除外）、接待清单、发票、邀请函、付款记录。</w:t>
      </w:r>
    </w:p>
    <w:p w14:paraId="37E11EAC">
      <w:pPr>
        <w:spacing w:before="280" w:after="120"/>
        <w:jc w:val="left"/>
        <w:rPr>
          <w:rFonts w:hint="eastAsia" w:ascii="方正仿宋_GB2312" w:hAnsi="方正仿宋_GB2312" w:eastAsia="方正仿宋_GB2312" w:cs="方正仿宋_GB2312"/>
          <w:b/>
          <w:sz w:val="30"/>
        </w:rPr>
      </w:pPr>
      <w:r>
        <w:rPr>
          <w:rFonts w:hint="eastAsia" w:ascii="方正仿宋_GB2312" w:hAnsi="方正仿宋_GB2312" w:eastAsia="方正仿宋_GB2312" w:cs="方正仿宋_GB2312"/>
          <w:b/>
          <w:sz w:val="30"/>
        </w:rPr>
        <w:t>八、填报注意事项及常见问题</w:t>
      </w:r>
    </w:p>
    <w:p w14:paraId="22F301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1.摘要规范：摘要填写清晰完整，杜绝空格、错别字；涉及往来业务的摘要须写明户名，减少凭证退回修改。</w:t>
      </w:r>
    </w:p>
    <w:p w14:paraId="727F24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2.流程顺序：必须先完成线上预约报销流程，禁止柜面先审核、后补线上流程。</w:t>
      </w:r>
    </w:p>
    <w:p w14:paraId="4C0088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3.差旅业务：OA差旅预先审批流程完成、考勤员备案齐全后，再提交差旅报销。</w:t>
      </w:r>
    </w:p>
    <w:p w14:paraId="4CD438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4.附件完整性：比价单必须有报账员审核，比价单日期必须早于付款日期；工作餐结算单必须加盖部门印章；公务接待业务按文件要求准备审批表或接待清单。</w:t>
      </w:r>
    </w:p>
    <w:p w14:paraId="1E3836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5.支付准确性：转卡、汇款信息（工号、户名、银行账号、金额等）须准确录入，核对未填金额与已填金额平衡后再提交。</w:t>
      </w:r>
    </w:p>
    <w:p w14:paraId="68C16C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b w:val="0"/>
          <w:sz w:val="24"/>
          <w:shd w:val="clear" w:color="auto" w:fill="auto"/>
        </w:rPr>
        <w:t>6.金额冻结：新的预约业务将实时冻结项目金额，直至财务报账为止。如有过期、无效或错误的预约记录请及时撤销，以免造成项目经费无法正常使用。</w:t>
      </w:r>
    </w:p>
    <w:sectPr>
      <w:pgSz w:w="11906" w:h="16838"/>
      <w:pgMar w:top="1440" w:right="1417" w:bottom="1440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DD85DF6-4F32-452D-9E9B-9BB7ADAE3D2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7E3C491-A193-4A0C-BF3B-E4FACA7691B1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8DE8F897-311C-4CA7-A8A9-7C0CF1E42AC0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0129A520"/>
    <w:multiLevelType w:val="singleLevel"/>
    <w:tmpl w:val="0129A52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CD7566"/>
    <w:rsid w:val="14EA6A84"/>
    <w:rsid w:val="167F30CD"/>
    <w:rsid w:val="1BDD5F00"/>
    <w:rsid w:val="1D274E55"/>
    <w:rsid w:val="1EFC6B3D"/>
    <w:rsid w:val="22E52C3B"/>
    <w:rsid w:val="2CEB6222"/>
    <w:rsid w:val="31F462B9"/>
    <w:rsid w:val="42A2648F"/>
    <w:rsid w:val="46761547"/>
    <w:rsid w:val="4BE407CF"/>
    <w:rsid w:val="515B4ED3"/>
    <w:rsid w:val="572C2811"/>
    <w:rsid w:val="5ADC7773"/>
    <w:rsid w:val="65295CAB"/>
    <w:rsid w:val="66743D71"/>
    <w:rsid w:val="69FF3F6A"/>
    <w:rsid w:val="6A6806AB"/>
    <w:rsid w:val="6B4744E5"/>
    <w:rsid w:val="708D2EE3"/>
    <w:rsid w:val="78990644"/>
    <w:rsid w:val="799179E3"/>
    <w:rsid w:val="7EA2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FollowedHyperlink"/>
    <w:basedOn w:val="132"/>
    <w:unhideWhenUsed/>
    <w:qFormat/>
    <w:uiPriority w:val="99"/>
    <w:rPr>
      <w:color w:val="800080"/>
      <w:u w:val="single"/>
    </w:rPr>
  </w:style>
  <w:style w:type="character" w:styleId="135">
    <w:name w:val="Emphasis"/>
    <w:basedOn w:val="132"/>
    <w:qFormat/>
    <w:uiPriority w:val="20"/>
    <w:rPr>
      <w:i/>
      <w:iCs/>
    </w:rPr>
  </w:style>
  <w:style w:type="character" w:styleId="136">
    <w:name w:val="Hyperlink"/>
    <w:basedOn w:val="132"/>
    <w:semiHidden/>
    <w:unhideWhenUsed/>
    <w:qFormat/>
    <w:uiPriority w:val="99"/>
    <w:rPr>
      <w:color w:val="0000FF"/>
      <w:u w:val="single"/>
    </w:rPr>
  </w:style>
  <w:style w:type="character" w:customStyle="1" w:styleId="137">
    <w:name w:val="Header Char"/>
    <w:basedOn w:val="132"/>
    <w:link w:val="25"/>
    <w:qFormat/>
    <w:uiPriority w:val="99"/>
  </w:style>
  <w:style w:type="character" w:customStyle="1" w:styleId="138">
    <w:name w:val="Footer Char"/>
    <w:basedOn w:val="132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2"/>
    <w:link w:val="19"/>
    <w:qFormat/>
    <w:uiPriority w:val="99"/>
  </w:style>
  <w:style w:type="character" w:customStyle="1" w:styleId="147">
    <w:name w:val="Body Text 2 Char"/>
    <w:basedOn w:val="132"/>
    <w:link w:val="28"/>
    <w:qFormat/>
    <w:uiPriority w:val="99"/>
  </w:style>
  <w:style w:type="character" w:customStyle="1" w:styleId="148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2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2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jpe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2174</Words>
  <Characters>2291</Characters>
  <Lines>0</Lines>
  <Paragraphs>0</Paragraphs>
  <TotalTime>19</TotalTime>
  <ScaleCrop>false</ScaleCrop>
  <LinksUpToDate>false</LinksUpToDate>
  <CharactersWithSpaces>2303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南京医科大学康达学院教育发展基金会</cp:lastModifiedBy>
  <dcterms:modified xsi:type="dcterms:W3CDTF">2026-09-11T03:58:28Z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eyJoZGlkIjoiMDhlNDQ2MzQwNTcyMTJiNDkzMDhhMjJhYzY3ZDY3MGQiLCJ1c2VySWQiOiI0NjA1MDEwNDMifQ==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F670AB9D5D144213B25D6C0D703F56C9_13</vt:lpwstr>
  </property>
</Properties>
</file>